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lfa Slab One" w:cs="Alfa Slab One" w:eastAsia="Alfa Slab One" w:hAnsi="Alfa Slab One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Alfa Slab One" w:cs="Alfa Slab One" w:eastAsia="Alfa Slab One" w:hAnsi="Alfa Slab One"/>
          <w:sz w:val="42"/>
          <w:szCs w:val="42"/>
          <w:rtl w:val="0"/>
        </w:rPr>
        <w:t xml:space="preserve">Prise de notes</w:t>
      </w:r>
      <w:r w:rsidDel="00000000" w:rsidR="00000000" w:rsidRPr="00000000">
        <w:rPr>
          <w:rtl w:val="0"/>
        </w:rPr>
      </w:r>
    </w:p>
    <w:tbl>
      <w:tblPr>
        <w:tblStyle w:val="Table1"/>
        <w:tblW w:w="11670.0" w:type="dxa"/>
        <w:jc w:val="left"/>
        <w:tblInd w:w="115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455"/>
        <w:gridCol w:w="2085"/>
        <w:tblGridChange w:id="0">
          <w:tblGrid>
            <w:gridCol w:w="2130"/>
            <w:gridCol w:w="7455"/>
            <w:gridCol w:w="2085"/>
          </w:tblGrid>
        </w:tblGridChange>
      </w:tblGrid>
      <w:tr>
        <w:trPr>
          <w:cantSplit w:val="0"/>
          <w:trHeight w:val="20" w:hRule="atLeast"/>
          <w:tblHeader w:val="1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  <w:rtl w:val="0"/>
              </w:rPr>
              <w:t xml:space="preserve">Période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  <w:rtl w:val="0"/>
              </w:rPr>
              <w:t xml:space="preserve">Dossier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  <w:rtl w:val="0"/>
              </w:rPr>
              <w:t xml:space="preserve">Pages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eae2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Des origines à 1608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e24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Les premiers occupants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e24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24-63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eae2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e24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Les premiers contacts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e24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64-96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104" w:firstLine="0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1608 à 1760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La naissance de la Nouvelle-France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97-145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Le développement de la Nouvelle-France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146-205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La guerre de la Conquête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206-236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lfa Slab One" w:cs="Alfa Slab One" w:eastAsia="Alfa Slab One" w:hAnsi="Alfa Slab One"/>
          <w:sz w:val="38"/>
          <w:szCs w:val="38"/>
        </w:rPr>
      </w:pPr>
      <w:r w:rsidDel="00000000" w:rsidR="00000000" w:rsidRPr="00000000">
        <w:rPr>
          <w:rFonts w:ascii="Century Gothic" w:cs="Century Gothic" w:eastAsia="Century Gothic" w:hAnsi="Century Gothic"/>
          <w:sz w:val="38"/>
          <w:szCs w:val="38"/>
          <w:rtl w:val="0"/>
        </w:rPr>
        <w:t xml:space="preserve">Consignes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7" w:right="-647" w:firstLine="0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À chaque fois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que tu complètes la lecture d’un dossier, consolide tes apprentissages en complétant la feuille de prise de notes. Pour ce faire, réponds aux questions suivantes :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Qu’as-tu appris ? Que dois-tu retenir de cette période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entury Gothic" w:cs="Century Gothic" w:eastAsia="Century Gothic" w:hAnsi="Century Gothic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Inspire-toi des savoirs historiques pour connaître ce qui est important à retenir.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Complète la ligne du temps en y indiquant les dates importantes de la période.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Ta prise de notes peut prendre la forme de ton choix :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 texte écrit, mots-clés, organigramme, enregistrement audio, carte conceptuelle, dessins, croquis-note, prise de notes à la main ou à l’aide d’outils technologiques, etc.</w:t>
      </w:r>
    </w:p>
    <w:p w:rsidR="00000000" w:rsidDel="00000000" w:rsidP="00000000" w:rsidRDefault="00000000" w:rsidRPr="00000000" w14:paraId="0000001E">
      <w:pPr>
        <w:jc w:val="center"/>
        <w:rPr>
          <w:rFonts w:ascii="Century Gothic" w:cs="Century Gothic" w:eastAsia="Century Gothic" w:hAnsi="Century Gothic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5343525</wp:posOffset>
            </wp:positionH>
            <wp:positionV relativeFrom="paragraph">
              <wp:posOffset>47625</wp:posOffset>
            </wp:positionV>
            <wp:extent cx="2457450" cy="824865"/>
            <wp:effectExtent b="0" l="0" r="0" t="0"/>
            <wp:wrapSquare wrapText="bothSides" distB="0" distT="0" distL="114300" distR="11430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24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ind w:left="1134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À la fin de ton cahier, tes 5 feuilles de notes</w:t>
      </w:r>
    </w:p>
    <w:p w:rsidR="00000000" w:rsidDel="00000000" w:rsidP="00000000" w:rsidRDefault="00000000" w:rsidRPr="00000000" w14:paraId="00000020">
      <w:pPr>
        <w:ind w:left="1134" w:firstLine="0"/>
        <w:jc w:val="both"/>
        <w:rPr>
          <w:rFonts w:ascii="Century Gothic" w:cs="Century Gothic" w:eastAsia="Century Gothic" w:hAnsi="Century Gothic"/>
          <w:sz w:val="24"/>
          <w:szCs w:val="24"/>
        </w:rPr>
        <w:sectPr>
          <w:headerReference r:id="rId8" w:type="default"/>
          <w:headerReference r:id="rId9" w:type="first"/>
          <w:footerReference r:id="rId10" w:type="default"/>
          <w:pgSz w:h="11909" w:w="16834" w:orient="landscape"/>
          <w:pgMar w:bottom="265.2755905511822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te permettront de réviser avant ton examen.</w:t>
      </w:r>
    </w:p>
    <w:p w:rsidR="00000000" w:rsidDel="00000000" w:rsidP="00000000" w:rsidRDefault="00000000" w:rsidRPr="00000000" w14:paraId="00000021">
      <w:pPr>
        <w:ind w:left="1134" w:firstLine="0"/>
        <w:jc w:val="both"/>
        <w:rPr>
          <w:rFonts w:ascii="Century Gothic" w:cs="Century Gothic" w:eastAsia="Century Gothic" w:hAnsi="Century Gothic"/>
          <w:sz w:val="24"/>
          <w:szCs w:val="24"/>
        </w:rPr>
        <w:sectPr>
          <w:type w:val="nextPage"/>
          <w:pgSz w:h="11909" w:w="16834" w:orient="landscape"/>
          <w:pgMar w:bottom="265.2755905511822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955"/>
        <w:tblGridChange w:id="0">
          <w:tblGrid>
            <w:gridCol w:w="14955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shd w:fill="eae2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Dossier 1. Les premiers occupants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(pages 24 à 63)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Social 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3 familles linguistiques, modes de vie, croyances, structure sociale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Politique: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rôles de pouvoir, causes et conséquences des rivalités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Économique: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 échanges et don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Territorial 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Béringie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Des origines                                                                                                                                                                                             1500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-105" w:firstLine="0"/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363075" cy="5334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3075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Des origines                                                                                                                                                                                             1500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105" w:firstLine="0"/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453563" cy="5334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3563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15"/>
        <w:tblGridChange w:id="0">
          <w:tblGrid>
            <w:gridCol w:w="15015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shd w:fill="eae2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Dossier 2. Les premiers contacts des Autochtones avec les Européens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(pages 64 à 96)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Politique: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grandes explorations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Économique: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  premiers contacts, échanges, commerce des fourrures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Culturel: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relations avec les Autochtones, alliances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Territorial: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 pays et les acteurs concernés, territoires découverts, tentatives de colonisation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1500                                                                                                                                                                                                      1608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-105" w:right="226" w:firstLine="0"/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401175" cy="5207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1175" cy="520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  1500                                                                                                                                                                                                      1608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105" w:right="226" w:firstLine="0"/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682163" cy="5334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2163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80"/>
        <w:tblGridChange w:id="0">
          <w:tblGrid>
            <w:gridCol w:w="15180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Dossier 3. La naissance de la Nouvelle-France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(pages 97 à 145)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Politique: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Champlain et la première colonie, alliances, Compagnie des Cents-Associés, fondation des villes (dates et fondateurs), conflits autochtones,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Économique: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commerce de fourrures, régime seigneurial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Culturel: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rôles de l’Église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1608                                                                                                                                                                                                         1663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-105" w:right="226" w:firstLine="0"/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505950" cy="5207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0" cy="520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  1608                                                                                                                                                                                                         1663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105" w:right="226" w:firstLine="0"/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672638" cy="5334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2638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75"/>
        <w:tblGridChange w:id="0">
          <w:tblGrid>
            <w:gridCol w:w="15375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Dossier 4. Le développement de la Nouvelle-France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(pages 146 à 205)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Politique: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 gouvernement royal, défense du territoire, Jean Talon, Grande Paix de Montréal 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Économique: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mercantilisme, commerce de fourrures, diversification de l’économie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Culturel: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rôles de l’Église, conséquences  sur les populations autochtones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1663                                                                                                                                                                                                            1754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-105" w:right="226" w:firstLine="0"/>
              <w:jc w:val="left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629775" cy="520700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9775" cy="520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  1663                                                                                                                                                                                                            1754</w:t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105" w:right="226" w:firstLine="0"/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53613" cy="533400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3613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4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0"/>
        <w:tblGridChange w:id="0">
          <w:tblGrid>
            <w:gridCol w:w="15450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Dossier 5. La guerre de la Conquête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(pages 206 à 236)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7"/>
                <w:szCs w:val="17"/>
                <w:rtl w:val="0"/>
              </w:rPr>
              <w:t xml:space="preserve">Politique: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7"/>
                <w:szCs w:val="17"/>
                <w:rtl w:val="0"/>
              </w:rPr>
              <w:t xml:space="preserve">Conquête (causes, principaux affrontements, forces, siège de Québec, bataille des Plaines d’Abraham, bataille de Sainte-Foy, capitulation de Montréal, Déportation des Acadiens)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  1754                                                                                                                                                                                                           1760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-105" w:right="226" w:firstLine="0"/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677400" cy="520700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0" cy="520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26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  1754                                                                                                                                                                                                           1760</w:t>
            </w:r>
          </w:p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105" w:right="226" w:firstLine="0"/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05988" cy="533400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5988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567" w:top="567" w:left="510" w:right="510" w:header="227" w:footer="28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lfa Slab One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  <w:font w:name="Century Gothic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jc w:val="center"/>
      <w:rPr>
        <w:rFonts w:ascii="Century Gothic" w:cs="Century Gothic" w:eastAsia="Century Gothic" w:hAnsi="Century Gothic"/>
        <w:i w:val="1"/>
        <w:sz w:val="18"/>
        <w:szCs w:val="18"/>
      </w:rPr>
    </w:pPr>
    <w:r w:rsidDel="00000000" w:rsidR="00000000" w:rsidRPr="00000000">
      <w:rPr>
        <w:rFonts w:ascii="Century Gothic" w:cs="Century Gothic" w:eastAsia="Century Gothic" w:hAnsi="Century Gothic"/>
        <w:i w:val="1"/>
        <w:sz w:val="18"/>
        <w:szCs w:val="18"/>
        <w:rtl w:val="0"/>
      </w:rPr>
      <w:t xml:space="preserve">Document réalisé par Sarah Lapré </w:t>
    </w:r>
    <w:r w:rsidDel="00000000" w:rsidR="00000000" w:rsidRPr="00000000">
      <w:rPr>
        <w:rFonts w:ascii="Century Gothic" w:cs="Century Gothic" w:eastAsia="Century Gothic" w:hAnsi="Century Gothic"/>
        <w:i w:val="1"/>
        <w:sz w:val="16"/>
        <w:szCs w:val="16"/>
        <w:rtl w:val="0"/>
      </w:rPr>
      <w:t xml:space="preserve">(CSS des Samares) </w:t>
    </w:r>
    <w:r w:rsidDel="00000000" w:rsidR="00000000" w:rsidRPr="00000000">
      <w:rPr>
        <w:rFonts w:ascii="Century Gothic" w:cs="Century Gothic" w:eastAsia="Century Gothic" w:hAnsi="Century Gothic"/>
        <w:i w:val="1"/>
        <w:sz w:val="18"/>
        <w:szCs w:val="18"/>
        <w:rtl w:val="0"/>
      </w:rPr>
      <w:t xml:space="preserve">et Johanne Goulet </w:t>
    </w:r>
    <w:r w:rsidDel="00000000" w:rsidR="00000000" w:rsidRPr="00000000">
      <w:rPr>
        <w:rFonts w:ascii="Century Gothic" w:cs="Century Gothic" w:eastAsia="Century Gothic" w:hAnsi="Century Gothic"/>
        <w:i w:val="1"/>
        <w:sz w:val="16"/>
        <w:szCs w:val="16"/>
        <w:rtl w:val="0"/>
      </w:rPr>
      <w:t xml:space="preserve">(CSS de Laval) </w:t>
    </w:r>
    <w:r w:rsidDel="00000000" w:rsidR="00000000" w:rsidRPr="00000000">
      <w:rPr>
        <w:rFonts w:ascii="Century Gothic" w:cs="Century Gothic" w:eastAsia="Century Gothic" w:hAnsi="Century Gothic"/>
        <w:i w:val="1"/>
        <w:sz w:val="18"/>
        <w:szCs w:val="18"/>
        <w:rtl w:val="0"/>
      </w:rPr>
      <w:t xml:space="preserve">- 2022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spacing w:line="240" w:lineRule="auto"/>
      <w:jc w:val="center"/>
      <w:rPr>
        <w:rFonts w:ascii="Comfortaa" w:cs="Comfortaa" w:eastAsia="Comfortaa" w:hAnsi="Comfortaa"/>
        <w:b w:val="1"/>
        <w:sz w:val="30"/>
        <w:szCs w:val="30"/>
      </w:rPr>
    </w:pPr>
    <w:r w:rsidDel="00000000" w:rsidR="00000000" w:rsidRPr="00000000">
      <w:rPr>
        <w:rFonts w:ascii="Comfortaa" w:cs="Comfortaa" w:eastAsia="Comfortaa" w:hAnsi="Comfortaa"/>
        <w:b w:val="1"/>
        <w:sz w:val="30"/>
        <w:szCs w:val="30"/>
        <w:rtl w:val="0"/>
      </w:rPr>
      <w:t xml:space="preserve">HIG-4101-2 </w:t>
    </w:r>
    <w:r w:rsidDel="00000000" w:rsidR="00000000" w:rsidRPr="00000000">
      <w:rPr>
        <w:rFonts w:ascii="Comfortaa" w:cs="Comfortaa" w:eastAsia="Comfortaa" w:hAnsi="Comfortaa"/>
        <w:b w:val="1"/>
        <w:i w:val="1"/>
        <w:sz w:val="30"/>
        <w:szCs w:val="30"/>
        <w:rtl w:val="0"/>
      </w:rPr>
      <w:t xml:space="preserve">Chroniques du Québec et du Canada 3</w:t>
    </w:r>
    <w:r w:rsidDel="00000000" w:rsidR="00000000" w:rsidRPr="00000000">
      <w:rPr>
        <w:rFonts w:ascii="Comfortaa" w:cs="Comfortaa" w:eastAsia="Comfortaa" w:hAnsi="Comfortaa"/>
        <w:b w:val="1"/>
        <w:i w:val="1"/>
        <w:sz w:val="30"/>
        <w:szCs w:val="30"/>
        <w:vertAlign w:val="superscript"/>
        <w:rtl w:val="0"/>
      </w:rPr>
      <w:t xml:space="preserve">e</w:t>
    </w:r>
    <w:r w:rsidDel="00000000" w:rsidR="00000000" w:rsidRPr="00000000">
      <w:rPr>
        <w:rFonts w:ascii="Comfortaa" w:cs="Comfortaa" w:eastAsia="Comfortaa" w:hAnsi="Comfortaa"/>
        <w:b w:val="1"/>
        <w:i w:val="1"/>
        <w:sz w:val="30"/>
        <w:szCs w:val="30"/>
        <w:rtl w:val="0"/>
      </w:rPr>
      <w:t xml:space="preserve"> secondaire - </w:t>
    </w:r>
    <w:r w:rsidDel="00000000" w:rsidR="00000000" w:rsidRPr="00000000">
      <w:rPr>
        <w:rFonts w:ascii="Comfortaa" w:cs="Comfortaa" w:eastAsia="Comfortaa" w:hAnsi="Comfortaa"/>
        <w:b w:val="1"/>
        <w:sz w:val="30"/>
        <w:szCs w:val="30"/>
        <w:rtl w:val="0"/>
      </w:rPr>
      <w:t xml:space="preserve">Cahier A</w:t>
    </w:r>
  </w:p>
  <w:p w:rsidR="00000000" w:rsidDel="00000000" w:rsidP="00000000" w:rsidRDefault="00000000" w:rsidRPr="00000000" w14:paraId="00000111">
    <w:pPr>
      <w:jc w:val="center"/>
      <w:rPr>
        <w:rFonts w:ascii="Comfortaa" w:cs="Comfortaa" w:eastAsia="Comfortaa" w:hAnsi="Comfortaa"/>
        <w:sz w:val="30"/>
        <w:szCs w:val="30"/>
      </w:rPr>
    </w:pPr>
    <w:r w:rsidDel="00000000" w:rsidR="00000000" w:rsidRPr="00000000">
      <w:rPr>
        <w:rFonts w:ascii="Comfortaa" w:cs="Comfortaa" w:eastAsia="Comfortaa" w:hAnsi="Comfortaa"/>
        <w:sz w:val="30"/>
        <w:szCs w:val="30"/>
        <w:rtl w:val="0"/>
      </w:rPr>
      <w:t xml:space="preserve">Nom de l’adulte :  ________________________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jc w:val="center"/>
      <w:rPr>
        <w:rFonts w:ascii="Century Gothic" w:cs="Century Gothic" w:eastAsia="Century Gothic" w:hAnsi="Century Gothic"/>
        <w:b w:val="1"/>
        <w:sz w:val="24"/>
        <w:szCs w:val="24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4"/>
        <w:szCs w:val="24"/>
        <w:rtl w:val="0"/>
      </w:rPr>
      <w:t xml:space="preserve">Prise de notes - Révision</w:t>
    </w:r>
  </w:p>
  <w:p w:rsidR="00000000" w:rsidDel="00000000" w:rsidP="00000000" w:rsidRDefault="00000000" w:rsidRPr="00000000" w14:paraId="000001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faSlabOne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Relationship Id="rId4" Type="http://schemas.openxmlformats.org/officeDocument/2006/relationships/font" Target="fonts/CenturyGothic-regular.ttf"/><Relationship Id="rId5" Type="http://schemas.openxmlformats.org/officeDocument/2006/relationships/font" Target="fonts/CenturyGothic-bold.ttf"/><Relationship Id="rId6" Type="http://schemas.openxmlformats.org/officeDocument/2006/relationships/font" Target="fonts/CenturyGothic-italic.ttf"/><Relationship Id="rId7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6qCxhrQdDvVYPlOosu0Y2yZMNg==">CgMxLjAyCGguZ2pkZ3hzOAByITFMbzR3Szd6TWN2djN6VFNKbVk2emdWaDFCUUhqdHpETg==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