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93156" w14:textId="3614AD0B" w:rsidR="001078C2" w:rsidRDefault="001078C2" w:rsidP="00CA7C79">
      <w:pPr>
        <w:spacing w:after="480"/>
        <w:ind w:left="283"/>
        <w:rPr>
          <w:b/>
          <w:sz w:val="28"/>
        </w:rPr>
      </w:pPr>
      <w:r>
        <w:rPr>
          <w:b/>
          <w:sz w:val="28"/>
        </w:rPr>
        <w:t>Les grandes écoles de la psychologie</w:t>
      </w: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2098"/>
        <w:gridCol w:w="1701"/>
        <w:gridCol w:w="3969"/>
        <w:gridCol w:w="2948"/>
      </w:tblGrid>
      <w:tr w:rsidR="00965C95" w:rsidRPr="00E45456" w14:paraId="386D37D9" w14:textId="77777777" w:rsidTr="00CA7C79">
        <w:trPr>
          <w:trHeight w:val="510"/>
          <w:jc w:val="center"/>
        </w:trPr>
        <w:tc>
          <w:tcPr>
            <w:tcW w:w="1588" w:type="dxa"/>
            <w:tcBorders>
              <w:bottom w:val="single" w:sz="36" w:space="0" w:color="auto"/>
            </w:tcBorders>
            <w:shd w:val="clear" w:color="auto" w:fill="9CC2E5" w:themeFill="accent1" w:themeFillTint="99"/>
            <w:vAlign w:val="center"/>
          </w:tcPr>
          <w:p w14:paraId="30466285" w14:textId="77777777" w:rsidR="001078C2" w:rsidRPr="00E45456" w:rsidRDefault="001078C2" w:rsidP="00E45456">
            <w:pPr>
              <w:jc w:val="center"/>
              <w:rPr>
                <w:b/>
              </w:rPr>
            </w:pPr>
          </w:p>
        </w:tc>
        <w:tc>
          <w:tcPr>
            <w:tcW w:w="2098" w:type="dxa"/>
            <w:tcBorders>
              <w:bottom w:val="single" w:sz="36" w:space="0" w:color="auto"/>
            </w:tcBorders>
            <w:shd w:val="clear" w:color="auto" w:fill="9CC2E5" w:themeFill="accent1" w:themeFillTint="99"/>
            <w:vAlign w:val="center"/>
          </w:tcPr>
          <w:p w14:paraId="173E5D96" w14:textId="77777777" w:rsidR="001078C2" w:rsidRPr="00E45456" w:rsidRDefault="001078C2" w:rsidP="00CC2E99">
            <w:pPr>
              <w:rPr>
                <w:b/>
              </w:rPr>
            </w:pPr>
            <w:r w:rsidRPr="00E45456">
              <w:rPr>
                <w:b/>
              </w:rPr>
              <w:t>École</w:t>
            </w:r>
          </w:p>
        </w:tc>
        <w:tc>
          <w:tcPr>
            <w:tcW w:w="1701" w:type="dxa"/>
            <w:tcBorders>
              <w:bottom w:val="single" w:sz="36" w:space="0" w:color="auto"/>
            </w:tcBorders>
            <w:shd w:val="clear" w:color="auto" w:fill="9CC2E5" w:themeFill="accent1" w:themeFillTint="99"/>
            <w:vAlign w:val="center"/>
          </w:tcPr>
          <w:p w14:paraId="4E991217" w14:textId="06ED3B75" w:rsidR="001078C2" w:rsidRPr="00E45456" w:rsidRDefault="001078C2" w:rsidP="00CC2E99">
            <w:pPr>
              <w:rPr>
                <w:b/>
              </w:rPr>
            </w:pPr>
            <w:r w:rsidRPr="00E45456">
              <w:rPr>
                <w:b/>
              </w:rPr>
              <w:t>Fondateur</w:t>
            </w:r>
          </w:p>
        </w:tc>
        <w:tc>
          <w:tcPr>
            <w:tcW w:w="3969" w:type="dxa"/>
            <w:tcBorders>
              <w:bottom w:val="single" w:sz="36" w:space="0" w:color="auto"/>
            </w:tcBorders>
            <w:shd w:val="clear" w:color="auto" w:fill="9CC2E5" w:themeFill="accent1" w:themeFillTint="99"/>
            <w:vAlign w:val="center"/>
          </w:tcPr>
          <w:p w14:paraId="6157EAF3" w14:textId="77777777" w:rsidR="001078C2" w:rsidRPr="00E45456" w:rsidRDefault="001078C2" w:rsidP="00CC2E99">
            <w:pPr>
              <w:rPr>
                <w:b/>
              </w:rPr>
            </w:pPr>
            <w:r w:rsidRPr="00E45456">
              <w:rPr>
                <w:b/>
              </w:rPr>
              <w:t>Objectif principal</w:t>
            </w:r>
          </w:p>
        </w:tc>
        <w:tc>
          <w:tcPr>
            <w:tcW w:w="2948" w:type="dxa"/>
            <w:tcBorders>
              <w:bottom w:val="single" w:sz="36" w:space="0" w:color="auto"/>
            </w:tcBorders>
            <w:shd w:val="clear" w:color="auto" w:fill="9CC2E5" w:themeFill="accent1" w:themeFillTint="99"/>
            <w:vAlign w:val="center"/>
          </w:tcPr>
          <w:p w14:paraId="04DD4A04" w14:textId="77777777" w:rsidR="001078C2" w:rsidRPr="00E45456" w:rsidRDefault="001078C2" w:rsidP="00CC2E99">
            <w:pPr>
              <w:rPr>
                <w:b/>
              </w:rPr>
            </w:pPr>
            <w:r w:rsidRPr="00E45456">
              <w:rPr>
                <w:b/>
              </w:rPr>
              <w:t>Méthode</w:t>
            </w:r>
          </w:p>
        </w:tc>
      </w:tr>
      <w:tr w:rsidR="00E45456" w:rsidRPr="00965C95" w14:paraId="24E94FDF" w14:textId="77777777" w:rsidTr="00CA7C79">
        <w:trPr>
          <w:jc w:val="center"/>
        </w:trPr>
        <w:tc>
          <w:tcPr>
            <w:tcW w:w="1588" w:type="dxa"/>
            <w:tcBorders>
              <w:top w:val="single" w:sz="36" w:space="0" w:color="auto"/>
            </w:tcBorders>
          </w:tcPr>
          <w:p w14:paraId="510442BE" w14:textId="77777777" w:rsidR="001078C2" w:rsidRPr="00965C95" w:rsidRDefault="001078C2" w:rsidP="00CC2E99">
            <w:pPr>
              <w:spacing w:before="80"/>
            </w:pPr>
            <w:r w:rsidRPr="00965C95">
              <w:t>XIXe siècle</w:t>
            </w:r>
          </w:p>
        </w:tc>
        <w:tc>
          <w:tcPr>
            <w:tcW w:w="2098" w:type="dxa"/>
            <w:tcBorders>
              <w:top w:val="single" w:sz="36" w:space="0" w:color="auto"/>
            </w:tcBorders>
          </w:tcPr>
          <w:p w14:paraId="2B8154BB" w14:textId="77777777" w:rsidR="001078C2" w:rsidRPr="00965C95" w:rsidRDefault="001078C2" w:rsidP="00CC2E99">
            <w:pPr>
              <w:spacing w:before="80"/>
            </w:pPr>
            <w:r w:rsidRPr="00965C95">
              <w:t>Structuralisme</w:t>
            </w:r>
          </w:p>
        </w:tc>
        <w:tc>
          <w:tcPr>
            <w:tcW w:w="1701" w:type="dxa"/>
            <w:tcBorders>
              <w:top w:val="single" w:sz="36" w:space="0" w:color="auto"/>
            </w:tcBorders>
          </w:tcPr>
          <w:p w14:paraId="1B9C5E61" w14:textId="77777777" w:rsidR="001078C2" w:rsidRPr="00965C95" w:rsidRDefault="001078C2" w:rsidP="00CC2E99">
            <w:pPr>
              <w:spacing w:before="80"/>
            </w:pPr>
            <w:r w:rsidRPr="00965C95">
              <w:t>Wundt</w:t>
            </w:r>
          </w:p>
        </w:tc>
        <w:tc>
          <w:tcPr>
            <w:tcW w:w="3969" w:type="dxa"/>
            <w:tcBorders>
              <w:top w:val="single" w:sz="36" w:space="0" w:color="auto"/>
            </w:tcBorders>
          </w:tcPr>
          <w:p w14:paraId="58DD7DE9" w14:textId="6CF81FAE" w:rsidR="001078C2" w:rsidRPr="00965C95" w:rsidRDefault="001078C2" w:rsidP="00CC2E99">
            <w:pPr>
              <w:spacing w:before="80"/>
            </w:pPr>
            <w:r w:rsidRPr="00965C95">
              <w:t xml:space="preserve">Comprendre le comportement humain à partir de l’expérience propre intérieure de la personne; découvrir les structures et les éléments les </w:t>
            </w:r>
            <w:r w:rsidR="004075C5">
              <w:t>plus simples de </w:t>
            </w:r>
            <w:r w:rsidRPr="00965C95">
              <w:t>l’esprit</w:t>
            </w:r>
            <w:r w:rsidR="004075C5">
              <w:t>.</w:t>
            </w:r>
          </w:p>
        </w:tc>
        <w:tc>
          <w:tcPr>
            <w:tcW w:w="2948" w:type="dxa"/>
            <w:tcBorders>
              <w:top w:val="single" w:sz="36" w:space="0" w:color="auto"/>
            </w:tcBorders>
          </w:tcPr>
          <w:p w14:paraId="44344935" w14:textId="77777777" w:rsidR="001078C2" w:rsidRPr="00965C95" w:rsidRDefault="001078C2" w:rsidP="00CC2E99">
            <w:pPr>
              <w:spacing w:before="80"/>
            </w:pPr>
            <w:r w:rsidRPr="00965C95">
              <w:t>L’introspection subjective; les tests mentaux</w:t>
            </w:r>
          </w:p>
        </w:tc>
      </w:tr>
      <w:tr w:rsidR="00E45456" w:rsidRPr="00965C95" w14:paraId="2511014C" w14:textId="77777777" w:rsidTr="00CA7C79">
        <w:trPr>
          <w:jc w:val="center"/>
        </w:trPr>
        <w:tc>
          <w:tcPr>
            <w:tcW w:w="1588" w:type="dxa"/>
            <w:tcBorders>
              <w:bottom w:val="single" w:sz="36" w:space="0" w:color="auto"/>
            </w:tcBorders>
          </w:tcPr>
          <w:p w14:paraId="25A9DAC8" w14:textId="77777777" w:rsidR="001078C2" w:rsidRPr="00965C95" w:rsidRDefault="001078C2" w:rsidP="00CC2E99">
            <w:pPr>
              <w:spacing w:before="80"/>
            </w:pPr>
          </w:p>
        </w:tc>
        <w:tc>
          <w:tcPr>
            <w:tcW w:w="2098" w:type="dxa"/>
            <w:tcBorders>
              <w:bottom w:val="single" w:sz="36" w:space="0" w:color="auto"/>
            </w:tcBorders>
          </w:tcPr>
          <w:p w14:paraId="003AEA0D" w14:textId="77777777" w:rsidR="001078C2" w:rsidRPr="00965C95" w:rsidRDefault="001078C2" w:rsidP="00CC2E99">
            <w:pPr>
              <w:spacing w:before="80"/>
            </w:pPr>
            <w:r w:rsidRPr="00965C95">
              <w:t>Fonctionnalisme</w:t>
            </w:r>
          </w:p>
        </w:tc>
        <w:tc>
          <w:tcPr>
            <w:tcW w:w="1701" w:type="dxa"/>
            <w:tcBorders>
              <w:bottom w:val="single" w:sz="36" w:space="0" w:color="auto"/>
            </w:tcBorders>
          </w:tcPr>
          <w:p w14:paraId="6F319B75" w14:textId="77777777" w:rsidR="001078C2" w:rsidRPr="00965C95" w:rsidRDefault="001078C2" w:rsidP="00CC2E99">
            <w:pPr>
              <w:spacing w:before="80"/>
            </w:pPr>
            <w:r w:rsidRPr="00965C95">
              <w:t>James</w:t>
            </w:r>
          </w:p>
        </w:tc>
        <w:tc>
          <w:tcPr>
            <w:tcW w:w="3969" w:type="dxa"/>
            <w:tcBorders>
              <w:bottom w:val="single" w:sz="36" w:space="0" w:color="auto"/>
            </w:tcBorders>
          </w:tcPr>
          <w:p w14:paraId="5D25D42F" w14:textId="778D7FD2" w:rsidR="001078C2" w:rsidRPr="00965C95" w:rsidRDefault="001078C2" w:rsidP="00CC2E99">
            <w:pPr>
              <w:spacing w:before="80" w:after="80"/>
            </w:pPr>
            <w:r w:rsidRPr="00965C95">
              <w:t>Comprendre le comportement humain en considérant les fonctions ou les processus de l’esprit et du corps</w:t>
            </w:r>
            <w:r w:rsidR="004075C5">
              <w:t>.</w:t>
            </w:r>
          </w:p>
        </w:tc>
        <w:tc>
          <w:tcPr>
            <w:tcW w:w="2948" w:type="dxa"/>
            <w:tcBorders>
              <w:bottom w:val="single" w:sz="36" w:space="0" w:color="auto"/>
            </w:tcBorders>
          </w:tcPr>
          <w:p w14:paraId="0F4A00E5" w14:textId="77777777" w:rsidR="001078C2" w:rsidRPr="00965C95" w:rsidRDefault="001078C2" w:rsidP="00CC2E99">
            <w:pPr>
              <w:spacing w:before="80"/>
            </w:pPr>
            <w:r w:rsidRPr="00965C95">
              <w:t>La mesure objective des pensées et des actions</w:t>
            </w:r>
          </w:p>
        </w:tc>
      </w:tr>
      <w:tr w:rsidR="00E45456" w:rsidRPr="00965C95" w14:paraId="1ABF0FE3" w14:textId="77777777" w:rsidTr="00CA7C79">
        <w:trPr>
          <w:jc w:val="center"/>
        </w:trPr>
        <w:tc>
          <w:tcPr>
            <w:tcW w:w="1588" w:type="dxa"/>
            <w:tcBorders>
              <w:top w:val="single" w:sz="36" w:space="0" w:color="auto"/>
            </w:tcBorders>
          </w:tcPr>
          <w:p w14:paraId="186B8B9E" w14:textId="77777777" w:rsidR="001078C2" w:rsidRPr="00965C95" w:rsidRDefault="001078C2" w:rsidP="00CC2E99">
            <w:pPr>
              <w:spacing w:before="80"/>
            </w:pPr>
            <w:r w:rsidRPr="00965C95">
              <w:t>XXe siècle</w:t>
            </w:r>
          </w:p>
        </w:tc>
        <w:tc>
          <w:tcPr>
            <w:tcW w:w="2098" w:type="dxa"/>
            <w:tcBorders>
              <w:top w:val="single" w:sz="36" w:space="0" w:color="auto"/>
            </w:tcBorders>
          </w:tcPr>
          <w:p w14:paraId="70D7D90E" w14:textId="013BFFDA" w:rsidR="001078C2" w:rsidRPr="00965C95" w:rsidRDefault="00F1075B" w:rsidP="00CC2E99">
            <w:pPr>
              <w:spacing w:before="80"/>
            </w:pPr>
            <w:r w:rsidRPr="00965C95">
              <w:t>Béhaviorisme</w:t>
            </w:r>
          </w:p>
        </w:tc>
        <w:tc>
          <w:tcPr>
            <w:tcW w:w="1701" w:type="dxa"/>
            <w:tcBorders>
              <w:top w:val="single" w:sz="36" w:space="0" w:color="auto"/>
            </w:tcBorders>
          </w:tcPr>
          <w:p w14:paraId="23AED1D1" w14:textId="2F6A14A9" w:rsidR="001078C2" w:rsidRPr="00965C95" w:rsidRDefault="001078C2" w:rsidP="00CC2E99">
            <w:pPr>
              <w:spacing w:before="80"/>
            </w:pPr>
            <w:r w:rsidRPr="00965C95">
              <w:t>Pavlov</w:t>
            </w:r>
            <w:r w:rsidR="00965C95">
              <w:t xml:space="preserve"> </w:t>
            </w:r>
            <w:r w:rsidRPr="00965C95">
              <w:t>Watson</w:t>
            </w:r>
          </w:p>
        </w:tc>
        <w:tc>
          <w:tcPr>
            <w:tcW w:w="3969" w:type="dxa"/>
            <w:tcBorders>
              <w:top w:val="single" w:sz="36" w:space="0" w:color="auto"/>
            </w:tcBorders>
          </w:tcPr>
          <w:p w14:paraId="04B40FC7" w14:textId="0A6D908E" w:rsidR="001078C2" w:rsidRPr="00965C95" w:rsidRDefault="00F1075B" w:rsidP="00CC2E99">
            <w:pPr>
              <w:spacing w:before="80"/>
            </w:pPr>
            <w:r w:rsidRPr="00965C95">
              <w:t>Connaitre</w:t>
            </w:r>
            <w:r w:rsidR="001078C2" w:rsidRPr="00965C95">
              <w:t xml:space="preserve"> l’esprit par l’observation et la description du comportement</w:t>
            </w:r>
            <w:r w:rsidR="004075C5">
              <w:t>.</w:t>
            </w:r>
          </w:p>
        </w:tc>
        <w:tc>
          <w:tcPr>
            <w:tcW w:w="2948" w:type="dxa"/>
            <w:tcBorders>
              <w:top w:val="single" w:sz="36" w:space="0" w:color="auto"/>
            </w:tcBorders>
          </w:tcPr>
          <w:p w14:paraId="0ACDF866" w14:textId="77777777" w:rsidR="001078C2" w:rsidRPr="00965C95" w:rsidRDefault="001078C2" w:rsidP="00CC2E99">
            <w:pPr>
              <w:spacing w:before="80"/>
            </w:pPr>
            <w:r w:rsidRPr="00965C95">
              <w:t>Les faits empiriques</w:t>
            </w:r>
          </w:p>
        </w:tc>
      </w:tr>
      <w:tr w:rsidR="00E45456" w:rsidRPr="00965C95" w14:paraId="44CBFFF3" w14:textId="77777777" w:rsidTr="00CA7C79">
        <w:trPr>
          <w:jc w:val="center"/>
        </w:trPr>
        <w:tc>
          <w:tcPr>
            <w:tcW w:w="1588" w:type="dxa"/>
          </w:tcPr>
          <w:p w14:paraId="2ED13F19" w14:textId="77777777" w:rsidR="001078C2" w:rsidRPr="00965C95" w:rsidRDefault="001078C2" w:rsidP="00CC2E99">
            <w:pPr>
              <w:spacing w:before="80"/>
            </w:pPr>
          </w:p>
        </w:tc>
        <w:tc>
          <w:tcPr>
            <w:tcW w:w="2098" w:type="dxa"/>
          </w:tcPr>
          <w:p w14:paraId="2C6E6E6F" w14:textId="77777777" w:rsidR="001078C2" w:rsidRPr="00965C95" w:rsidRDefault="001078C2" w:rsidP="00CC2E99">
            <w:pPr>
              <w:spacing w:before="80"/>
            </w:pPr>
            <w:r w:rsidRPr="00965C95">
              <w:t>Psychanalyse</w:t>
            </w:r>
          </w:p>
        </w:tc>
        <w:tc>
          <w:tcPr>
            <w:tcW w:w="1701" w:type="dxa"/>
          </w:tcPr>
          <w:p w14:paraId="238F75B0" w14:textId="77777777" w:rsidR="001078C2" w:rsidRPr="00965C95" w:rsidRDefault="001078C2" w:rsidP="00CC2E99">
            <w:pPr>
              <w:spacing w:before="80"/>
            </w:pPr>
            <w:r w:rsidRPr="00965C95">
              <w:t>Freud</w:t>
            </w:r>
          </w:p>
        </w:tc>
        <w:tc>
          <w:tcPr>
            <w:tcW w:w="3969" w:type="dxa"/>
          </w:tcPr>
          <w:p w14:paraId="51A2A0DA" w14:textId="284F5567" w:rsidR="001078C2" w:rsidRPr="00965C95" w:rsidRDefault="00F1075B" w:rsidP="00CC2E99">
            <w:pPr>
              <w:spacing w:before="80"/>
            </w:pPr>
            <w:r w:rsidRPr="00965C95">
              <w:t>Connaitre</w:t>
            </w:r>
            <w:r w:rsidR="001078C2" w:rsidRPr="00965C95">
              <w:t xml:space="preserve"> les forces inconscientes qui influencent le comportement</w:t>
            </w:r>
            <w:r w:rsidR="004075C5">
              <w:t>.</w:t>
            </w:r>
          </w:p>
        </w:tc>
        <w:tc>
          <w:tcPr>
            <w:tcW w:w="2948" w:type="dxa"/>
          </w:tcPr>
          <w:p w14:paraId="6701A2B6" w14:textId="77777777" w:rsidR="001078C2" w:rsidRPr="00965C95" w:rsidRDefault="001078C2" w:rsidP="00CC2E99">
            <w:pPr>
              <w:spacing w:before="80"/>
            </w:pPr>
            <w:r w:rsidRPr="00965C95">
              <w:t>L’« association libre »</w:t>
            </w:r>
          </w:p>
        </w:tc>
      </w:tr>
      <w:tr w:rsidR="00E45456" w:rsidRPr="00965C95" w14:paraId="2D9A8D88" w14:textId="77777777" w:rsidTr="00CA7C79">
        <w:trPr>
          <w:jc w:val="center"/>
        </w:trPr>
        <w:tc>
          <w:tcPr>
            <w:tcW w:w="1588" w:type="dxa"/>
            <w:tcBorders>
              <w:bottom w:val="single" w:sz="36" w:space="0" w:color="auto"/>
            </w:tcBorders>
          </w:tcPr>
          <w:p w14:paraId="6126F354" w14:textId="77777777" w:rsidR="001078C2" w:rsidRPr="00965C95" w:rsidRDefault="001078C2" w:rsidP="00CC2E99">
            <w:pPr>
              <w:spacing w:before="80"/>
            </w:pPr>
          </w:p>
        </w:tc>
        <w:tc>
          <w:tcPr>
            <w:tcW w:w="2098" w:type="dxa"/>
            <w:tcBorders>
              <w:bottom w:val="single" w:sz="36" w:space="0" w:color="auto"/>
            </w:tcBorders>
          </w:tcPr>
          <w:p w14:paraId="2E51C67E" w14:textId="77777777" w:rsidR="001078C2" w:rsidRPr="00965C95" w:rsidRDefault="001078C2" w:rsidP="00CC2E99">
            <w:pPr>
              <w:spacing w:before="80"/>
            </w:pPr>
            <w:r w:rsidRPr="00965C95">
              <w:t>Gestaltisme</w:t>
            </w:r>
          </w:p>
        </w:tc>
        <w:tc>
          <w:tcPr>
            <w:tcW w:w="1701" w:type="dxa"/>
            <w:tcBorders>
              <w:bottom w:val="single" w:sz="36" w:space="0" w:color="auto"/>
            </w:tcBorders>
          </w:tcPr>
          <w:p w14:paraId="1238959C" w14:textId="15041245" w:rsidR="001078C2" w:rsidRPr="00965C95" w:rsidRDefault="001078C2" w:rsidP="00CC2E99">
            <w:pPr>
              <w:spacing w:before="80"/>
            </w:pPr>
            <w:r w:rsidRPr="00965C95">
              <w:t>Köhler</w:t>
            </w:r>
            <w:r w:rsidR="00965C95">
              <w:t xml:space="preserve"> </w:t>
            </w:r>
            <w:r w:rsidRPr="00965C95">
              <w:t>Koffka</w:t>
            </w:r>
          </w:p>
        </w:tc>
        <w:tc>
          <w:tcPr>
            <w:tcW w:w="3969" w:type="dxa"/>
            <w:tcBorders>
              <w:bottom w:val="single" w:sz="36" w:space="0" w:color="auto"/>
            </w:tcBorders>
          </w:tcPr>
          <w:p w14:paraId="1FD0403D" w14:textId="1D57C6DF" w:rsidR="001078C2" w:rsidRPr="00965C95" w:rsidRDefault="00F1075B" w:rsidP="00CC2E99">
            <w:pPr>
              <w:spacing w:before="80" w:after="80"/>
            </w:pPr>
            <w:r w:rsidRPr="00965C95">
              <w:t>Connaitre</w:t>
            </w:r>
            <w:r w:rsidR="001078C2" w:rsidRPr="00965C95">
              <w:t xml:space="preserve"> l’esprit par l’étude de la fa</w:t>
            </w:r>
            <w:r w:rsidR="004075C5">
              <w:t>çon dont les gens perçoivent le </w:t>
            </w:r>
            <w:r w:rsidR="001078C2" w:rsidRPr="00965C95">
              <w:t>monde</w:t>
            </w:r>
            <w:r w:rsidR="004075C5">
              <w:t>.</w:t>
            </w:r>
          </w:p>
        </w:tc>
        <w:tc>
          <w:tcPr>
            <w:tcW w:w="2948" w:type="dxa"/>
            <w:tcBorders>
              <w:bottom w:val="single" w:sz="36" w:space="0" w:color="auto"/>
            </w:tcBorders>
          </w:tcPr>
          <w:p w14:paraId="133D3157" w14:textId="77777777" w:rsidR="001078C2" w:rsidRPr="00965C95" w:rsidRDefault="001078C2" w:rsidP="00CC2E99">
            <w:pPr>
              <w:spacing w:before="80"/>
            </w:pPr>
            <w:r w:rsidRPr="00965C95">
              <w:t>Les tests perceptuels</w:t>
            </w:r>
          </w:p>
        </w:tc>
      </w:tr>
    </w:tbl>
    <w:p w14:paraId="1D34535B" w14:textId="77777777" w:rsidR="001078C2" w:rsidRDefault="001078C2" w:rsidP="00CA7C79">
      <w:pPr>
        <w:spacing w:after="480"/>
        <w:ind w:left="283"/>
      </w:pPr>
    </w:p>
    <w:sectPr w:rsidR="001078C2" w:rsidSect="00E45456">
      <w:pgSz w:w="15842" w:h="12242" w:orient="landscape" w:code="1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C2"/>
    <w:rsid w:val="000D3FA2"/>
    <w:rsid w:val="001078C2"/>
    <w:rsid w:val="004075C5"/>
    <w:rsid w:val="00481B07"/>
    <w:rsid w:val="004B35C6"/>
    <w:rsid w:val="0058709D"/>
    <w:rsid w:val="006C64DC"/>
    <w:rsid w:val="00712AFE"/>
    <w:rsid w:val="00731ADE"/>
    <w:rsid w:val="00835674"/>
    <w:rsid w:val="008527A2"/>
    <w:rsid w:val="00881C6E"/>
    <w:rsid w:val="008B11C2"/>
    <w:rsid w:val="008F55E6"/>
    <w:rsid w:val="00965C95"/>
    <w:rsid w:val="009B4795"/>
    <w:rsid w:val="00C85BE2"/>
    <w:rsid w:val="00CA7C79"/>
    <w:rsid w:val="00CC2E99"/>
    <w:rsid w:val="00E45456"/>
    <w:rsid w:val="00E5606D"/>
    <w:rsid w:val="00F1075B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7BF56"/>
  <w15:docId w15:val="{420F1A90-DFC9-4A66-A4CA-3DF01B99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5606D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grandes écoles de la psychologie</vt:lpstr>
    </vt:vector>
  </TitlesOfParts>
  <Company>Editions Logitell inc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grandes écoles de la psychologie</dc:title>
  <dc:creator>Stella Gardonio</dc:creator>
  <cp:lastModifiedBy>Nathalie Ong Tone</cp:lastModifiedBy>
  <cp:revision>8</cp:revision>
  <cp:lastPrinted>2007-01-26T12:41:00Z</cp:lastPrinted>
  <dcterms:created xsi:type="dcterms:W3CDTF">2013-09-18T18:57:00Z</dcterms:created>
  <dcterms:modified xsi:type="dcterms:W3CDTF">2017-01-27T14:36:00Z</dcterms:modified>
</cp:coreProperties>
</file>