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6A0" w:rsidRPr="001701FF" w:rsidRDefault="00BF56A0" w:rsidP="00E817CB">
      <w:pPr>
        <w:spacing w:after="120"/>
        <w:rPr>
          <w:rFonts w:ascii="Arial" w:hAnsi="Arial"/>
          <w:b/>
          <w:sz w:val="32"/>
          <w:lang w:val="fr-FR"/>
        </w:rPr>
      </w:pPr>
      <w:bookmarkStart w:id="0" w:name="_GoBack"/>
      <w:bookmarkEnd w:id="0"/>
      <w:r w:rsidRPr="001701FF">
        <w:rPr>
          <w:rFonts w:ascii="Arial" w:hAnsi="Arial"/>
          <w:b/>
          <w:sz w:val="32"/>
        </w:rPr>
        <w:t>Présentation</w:t>
      </w:r>
      <w:r w:rsidRPr="001701FF">
        <w:rPr>
          <w:rFonts w:ascii="Arial" w:hAnsi="Arial"/>
          <w:b/>
          <w:sz w:val="32"/>
          <w:lang w:val="fr-FR"/>
        </w:rPr>
        <w:t xml:space="preserve"> du chiffre d’affaires</w:t>
      </w:r>
    </w:p>
    <w:p w:rsidR="00BF56A0" w:rsidRDefault="00BF56A0">
      <w:pPr>
        <w:rPr>
          <w:lang w:val="fr-FR"/>
        </w:rPr>
      </w:pPr>
      <w:r>
        <w:rPr>
          <w:lang w:val="fr-FR"/>
        </w:rPr>
        <w:t>Les ventes de mars marquent la poursuite de l’augmentation des recettes constatées ce trimestre. Pour la première fois de l’année, nous avons dépassé les prévisions de ventes cumulées prévues l’année dernière à cette date :</w:t>
      </w:r>
    </w:p>
    <w:p w:rsidR="00BF56A0" w:rsidRDefault="00BF56A0">
      <w:pPr>
        <w:spacing w:before="360" w:after="120"/>
        <w:rPr>
          <w:rFonts w:ascii="Arial" w:hAnsi="Arial"/>
          <w:b/>
          <w:sz w:val="28"/>
          <w:lang w:val="fr-FR"/>
        </w:rPr>
      </w:pPr>
      <w:r>
        <w:rPr>
          <w:rFonts w:ascii="Arial" w:hAnsi="Arial"/>
          <w:b/>
          <w:sz w:val="28"/>
          <w:lang w:val="fr-FR"/>
        </w:rPr>
        <w:t>Tableau 1 : Premier semestre</w:t>
      </w:r>
    </w:p>
    <w:tbl>
      <w:tblPr>
        <w:tblW w:w="0" w:type="auto"/>
        <w:tblInd w:w="144" w:type="dxa"/>
        <w:tblLayout w:type="fixed"/>
        <w:tblLook w:val="0000" w:firstRow="0" w:lastRow="0" w:firstColumn="0" w:lastColumn="0" w:noHBand="0" w:noVBand="0"/>
      </w:tblPr>
      <w:tblGrid>
        <w:gridCol w:w="2592"/>
        <w:gridCol w:w="1588"/>
        <w:gridCol w:w="1588"/>
        <w:gridCol w:w="1588"/>
        <w:gridCol w:w="1588"/>
        <w:gridCol w:w="1588"/>
        <w:gridCol w:w="1588"/>
      </w:tblGrid>
      <w:tr w:rsidR="00BF56A0" w:rsidTr="00A51611">
        <w:tc>
          <w:tcPr>
            <w:tcW w:w="2592" w:type="dxa"/>
            <w:tcBorders>
              <w:top w:val="single" w:sz="6" w:space="0" w:color="auto"/>
              <w:left w:val="single" w:sz="6" w:space="0" w:color="auto"/>
            </w:tcBorders>
          </w:tcPr>
          <w:p w:rsidR="00BF56A0" w:rsidRDefault="00BF56A0">
            <w:pPr>
              <w:rPr>
                <w:rFonts w:ascii="Arial" w:hAnsi="Arial"/>
                <w:lang w:val="fr-FR"/>
              </w:rPr>
            </w:pPr>
          </w:p>
        </w:tc>
        <w:tc>
          <w:tcPr>
            <w:tcW w:w="1588" w:type="dxa"/>
            <w:tcBorders>
              <w:top w:val="single" w:sz="6" w:space="0" w:color="auto"/>
            </w:tcBorders>
          </w:tcPr>
          <w:p w:rsidR="00BF56A0" w:rsidRDefault="00BF56A0">
            <w:pPr>
              <w:jc w:val="right"/>
              <w:rPr>
                <w:rFonts w:ascii="Arial" w:hAnsi="Arial"/>
                <w:i/>
                <w:lang w:val="fr-FR"/>
              </w:rPr>
            </w:pPr>
            <w:r>
              <w:rPr>
                <w:rFonts w:ascii="Arial" w:hAnsi="Arial"/>
                <w:i/>
                <w:lang w:val="fr-FR"/>
              </w:rPr>
              <w:t>Janvier</w:t>
            </w:r>
          </w:p>
        </w:tc>
        <w:tc>
          <w:tcPr>
            <w:tcW w:w="1588" w:type="dxa"/>
            <w:tcBorders>
              <w:top w:val="single" w:sz="6" w:space="0" w:color="auto"/>
            </w:tcBorders>
          </w:tcPr>
          <w:p w:rsidR="00BF56A0" w:rsidRDefault="00BF56A0">
            <w:pPr>
              <w:jc w:val="right"/>
              <w:rPr>
                <w:rFonts w:ascii="Arial" w:hAnsi="Arial"/>
                <w:i/>
                <w:lang w:val="fr-FR"/>
              </w:rPr>
            </w:pPr>
            <w:r>
              <w:rPr>
                <w:rFonts w:ascii="Arial" w:hAnsi="Arial"/>
                <w:i/>
                <w:lang w:val="fr-FR"/>
              </w:rPr>
              <w:t>Février</w:t>
            </w:r>
          </w:p>
        </w:tc>
        <w:tc>
          <w:tcPr>
            <w:tcW w:w="1588" w:type="dxa"/>
            <w:tcBorders>
              <w:top w:val="single" w:sz="6" w:space="0" w:color="auto"/>
            </w:tcBorders>
          </w:tcPr>
          <w:p w:rsidR="00BF56A0" w:rsidRDefault="00BF56A0">
            <w:pPr>
              <w:jc w:val="right"/>
              <w:rPr>
                <w:rFonts w:ascii="Arial" w:hAnsi="Arial"/>
                <w:i/>
                <w:lang w:val="fr-FR"/>
              </w:rPr>
            </w:pPr>
            <w:r>
              <w:rPr>
                <w:rFonts w:ascii="Arial" w:hAnsi="Arial"/>
                <w:i/>
                <w:lang w:val="fr-FR"/>
              </w:rPr>
              <w:t>Mars</w:t>
            </w:r>
          </w:p>
        </w:tc>
        <w:tc>
          <w:tcPr>
            <w:tcW w:w="1588" w:type="dxa"/>
            <w:tcBorders>
              <w:top w:val="single" w:sz="6" w:space="0" w:color="auto"/>
            </w:tcBorders>
          </w:tcPr>
          <w:p w:rsidR="00BF56A0" w:rsidRDefault="00BF56A0">
            <w:pPr>
              <w:jc w:val="right"/>
              <w:rPr>
                <w:rFonts w:ascii="Arial" w:hAnsi="Arial"/>
                <w:i/>
                <w:lang w:val="fr-FR"/>
              </w:rPr>
            </w:pPr>
            <w:r>
              <w:rPr>
                <w:rFonts w:ascii="Arial" w:hAnsi="Arial"/>
                <w:i/>
                <w:lang w:val="fr-FR"/>
              </w:rPr>
              <w:t>Avril</w:t>
            </w:r>
          </w:p>
        </w:tc>
        <w:tc>
          <w:tcPr>
            <w:tcW w:w="1588" w:type="dxa"/>
            <w:tcBorders>
              <w:top w:val="single" w:sz="6" w:space="0" w:color="auto"/>
            </w:tcBorders>
          </w:tcPr>
          <w:p w:rsidR="00BF56A0" w:rsidRDefault="00BF56A0">
            <w:pPr>
              <w:jc w:val="right"/>
              <w:rPr>
                <w:rFonts w:ascii="Arial" w:hAnsi="Arial"/>
                <w:i/>
                <w:lang w:val="fr-FR"/>
              </w:rPr>
            </w:pPr>
            <w:r>
              <w:rPr>
                <w:rFonts w:ascii="Arial" w:hAnsi="Arial"/>
                <w:i/>
                <w:lang w:val="fr-FR"/>
              </w:rPr>
              <w:t>Mai</w:t>
            </w:r>
          </w:p>
        </w:tc>
        <w:tc>
          <w:tcPr>
            <w:tcW w:w="1588" w:type="dxa"/>
            <w:tcBorders>
              <w:top w:val="single" w:sz="6" w:space="0" w:color="auto"/>
              <w:right w:val="single" w:sz="6" w:space="0" w:color="auto"/>
            </w:tcBorders>
          </w:tcPr>
          <w:p w:rsidR="00BF56A0" w:rsidRDefault="00BF56A0">
            <w:pPr>
              <w:jc w:val="right"/>
              <w:rPr>
                <w:rFonts w:ascii="Arial" w:hAnsi="Arial"/>
                <w:i/>
                <w:lang w:val="fr-FR"/>
              </w:rPr>
            </w:pPr>
            <w:r>
              <w:rPr>
                <w:rFonts w:ascii="Arial" w:hAnsi="Arial"/>
                <w:i/>
                <w:lang w:val="fr-FR"/>
              </w:rPr>
              <w:t>Juin</w:t>
            </w:r>
          </w:p>
        </w:tc>
      </w:tr>
      <w:tr w:rsidR="00BF56A0" w:rsidTr="00A51611">
        <w:tc>
          <w:tcPr>
            <w:tcW w:w="2592" w:type="dxa"/>
            <w:tcBorders>
              <w:left w:val="single" w:sz="6" w:space="0" w:color="auto"/>
            </w:tcBorders>
          </w:tcPr>
          <w:p w:rsidR="00BF56A0" w:rsidRDefault="00BF56A0">
            <w:pPr>
              <w:rPr>
                <w:rFonts w:ascii="Arial" w:hAnsi="Arial"/>
                <w:i/>
                <w:lang w:val="fr-FR"/>
              </w:rPr>
            </w:pPr>
            <w:r>
              <w:rPr>
                <w:rFonts w:ascii="Arial" w:hAnsi="Arial"/>
                <w:i/>
                <w:lang w:val="fr-FR"/>
              </w:rPr>
              <w:t>Ventes pour le mois</w:t>
            </w:r>
          </w:p>
        </w:tc>
        <w:tc>
          <w:tcPr>
            <w:tcW w:w="1588" w:type="dxa"/>
          </w:tcPr>
          <w:p w:rsidR="00BF56A0" w:rsidRDefault="00BF56A0">
            <w:pPr>
              <w:jc w:val="right"/>
              <w:rPr>
                <w:rFonts w:ascii="Arial" w:hAnsi="Arial"/>
                <w:lang w:val="fr-FR"/>
              </w:rPr>
            </w:pPr>
            <w:r>
              <w:rPr>
                <w:rFonts w:ascii="Arial" w:hAnsi="Arial"/>
                <w:lang w:val="fr-FR"/>
              </w:rPr>
              <w:t>40 982</w:t>
            </w:r>
          </w:p>
        </w:tc>
        <w:tc>
          <w:tcPr>
            <w:tcW w:w="1588" w:type="dxa"/>
          </w:tcPr>
          <w:p w:rsidR="00BF56A0" w:rsidRDefault="00BF56A0">
            <w:pPr>
              <w:jc w:val="right"/>
              <w:rPr>
                <w:rFonts w:ascii="Arial" w:hAnsi="Arial"/>
                <w:lang w:val="fr-FR"/>
              </w:rPr>
            </w:pPr>
            <w:r>
              <w:rPr>
                <w:rFonts w:ascii="Arial" w:hAnsi="Arial"/>
                <w:lang w:val="fr-FR"/>
              </w:rPr>
              <w:t>65 832</w:t>
            </w:r>
          </w:p>
        </w:tc>
        <w:tc>
          <w:tcPr>
            <w:tcW w:w="1588" w:type="dxa"/>
          </w:tcPr>
          <w:p w:rsidR="00BF56A0" w:rsidRDefault="00BF56A0">
            <w:pPr>
              <w:jc w:val="right"/>
              <w:rPr>
                <w:rFonts w:ascii="Arial" w:hAnsi="Arial"/>
                <w:lang w:val="fr-FR"/>
              </w:rPr>
            </w:pPr>
            <w:r>
              <w:rPr>
                <w:rFonts w:ascii="Arial" w:hAnsi="Arial"/>
                <w:lang w:val="fr-FR"/>
              </w:rPr>
              <w:t>65 929</w:t>
            </w:r>
          </w:p>
        </w:tc>
        <w:tc>
          <w:tcPr>
            <w:tcW w:w="1588" w:type="dxa"/>
          </w:tcPr>
          <w:p w:rsidR="00BF56A0" w:rsidRDefault="00BF56A0">
            <w:pPr>
              <w:jc w:val="right"/>
              <w:rPr>
                <w:rFonts w:ascii="Arial" w:hAnsi="Arial"/>
                <w:lang w:val="fr-FR"/>
              </w:rPr>
            </w:pPr>
            <w:r>
              <w:rPr>
                <w:rFonts w:ascii="Arial" w:hAnsi="Arial"/>
                <w:lang w:val="fr-FR"/>
              </w:rPr>
              <w:t>67 443</w:t>
            </w:r>
          </w:p>
        </w:tc>
        <w:tc>
          <w:tcPr>
            <w:tcW w:w="1588" w:type="dxa"/>
          </w:tcPr>
          <w:p w:rsidR="00BF56A0" w:rsidRDefault="00BF56A0">
            <w:pPr>
              <w:jc w:val="right"/>
              <w:rPr>
                <w:rFonts w:ascii="Arial" w:hAnsi="Arial"/>
                <w:lang w:val="fr-FR"/>
              </w:rPr>
            </w:pPr>
            <w:r>
              <w:rPr>
                <w:rFonts w:ascii="Arial" w:hAnsi="Arial"/>
                <w:lang w:val="fr-FR"/>
              </w:rPr>
              <w:t>69 231</w:t>
            </w:r>
          </w:p>
        </w:tc>
        <w:tc>
          <w:tcPr>
            <w:tcW w:w="1588" w:type="dxa"/>
            <w:tcBorders>
              <w:right w:val="single" w:sz="6" w:space="0" w:color="auto"/>
            </w:tcBorders>
          </w:tcPr>
          <w:p w:rsidR="00BF56A0" w:rsidRDefault="00BF56A0">
            <w:pPr>
              <w:jc w:val="right"/>
              <w:rPr>
                <w:rFonts w:ascii="Arial" w:hAnsi="Arial"/>
                <w:lang w:val="fr-FR"/>
              </w:rPr>
            </w:pPr>
            <w:r>
              <w:rPr>
                <w:rFonts w:ascii="Arial" w:hAnsi="Arial"/>
                <w:lang w:val="fr-FR"/>
              </w:rPr>
              <w:t>68 398</w:t>
            </w:r>
          </w:p>
        </w:tc>
      </w:tr>
      <w:tr w:rsidR="00BF56A0" w:rsidTr="00A51611">
        <w:tc>
          <w:tcPr>
            <w:tcW w:w="2592" w:type="dxa"/>
            <w:tcBorders>
              <w:left w:val="single" w:sz="6" w:space="0" w:color="auto"/>
            </w:tcBorders>
          </w:tcPr>
          <w:p w:rsidR="00BF56A0" w:rsidRDefault="00BF56A0">
            <w:pPr>
              <w:rPr>
                <w:rFonts w:ascii="Arial" w:hAnsi="Arial"/>
                <w:i/>
                <w:lang w:val="fr-FR"/>
              </w:rPr>
            </w:pPr>
            <w:r>
              <w:rPr>
                <w:rFonts w:ascii="Arial" w:hAnsi="Arial"/>
                <w:i/>
                <w:lang w:val="fr-FR"/>
              </w:rPr>
              <w:t>Prévisions</w:t>
            </w:r>
          </w:p>
        </w:tc>
        <w:tc>
          <w:tcPr>
            <w:tcW w:w="1588" w:type="dxa"/>
          </w:tcPr>
          <w:p w:rsidR="00BF56A0" w:rsidRDefault="00BF56A0">
            <w:pPr>
              <w:jc w:val="right"/>
              <w:rPr>
                <w:rFonts w:ascii="Arial" w:hAnsi="Arial"/>
                <w:lang w:val="fr-FR"/>
              </w:rPr>
            </w:pPr>
            <w:r>
              <w:rPr>
                <w:rFonts w:ascii="Arial" w:hAnsi="Arial"/>
                <w:lang w:val="fr-FR"/>
              </w:rPr>
              <w:t>45 200</w:t>
            </w:r>
          </w:p>
        </w:tc>
        <w:tc>
          <w:tcPr>
            <w:tcW w:w="1588" w:type="dxa"/>
          </w:tcPr>
          <w:p w:rsidR="00BF56A0" w:rsidRDefault="00BF56A0">
            <w:pPr>
              <w:jc w:val="right"/>
              <w:rPr>
                <w:rFonts w:ascii="Arial" w:hAnsi="Arial"/>
                <w:lang w:val="fr-FR"/>
              </w:rPr>
            </w:pPr>
            <w:r>
              <w:rPr>
                <w:rFonts w:ascii="Arial" w:hAnsi="Arial"/>
                <w:lang w:val="fr-FR"/>
              </w:rPr>
              <w:t>78 300</w:t>
            </w:r>
          </w:p>
        </w:tc>
        <w:tc>
          <w:tcPr>
            <w:tcW w:w="1588" w:type="dxa"/>
          </w:tcPr>
          <w:p w:rsidR="00BF56A0" w:rsidRDefault="00BF56A0">
            <w:pPr>
              <w:jc w:val="right"/>
              <w:rPr>
                <w:rFonts w:ascii="Arial" w:hAnsi="Arial"/>
                <w:lang w:val="fr-FR"/>
              </w:rPr>
            </w:pPr>
            <w:r>
              <w:rPr>
                <w:rFonts w:ascii="Arial" w:hAnsi="Arial"/>
                <w:lang w:val="fr-FR"/>
              </w:rPr>
              <w:t>45 900</w:t>
            </w:r>
          </w:p>
        </w:tc>
        <w:tc>
          <w:tcPr>
            <w:tcW w:w="1588" w:type="dxa"/>
          </w:tcPr>
          <w:p w:rsidR="00BF56A0" w:rsidRDefault="00BF56A0">
            <w:pPr>
              <w:jc w:val="right"/>
              <w:rPr>
                <w:rFonts w:ascii="Arial" w:hAnsi="Arial"/>
                <w:lang w:val="fr-FR"/>
              </w:rPr>
            </w:pPr>
            <w:r>
              <w:rPr>
                <w:rFonts w:ascii="Arial" w:hAnsi="Arial"/>
                <w:lang w:val="fr-FR"/>
              </w:rPr>
              <w:t>57 645</w:t>
            </w:r>
          </w:p>
        </w:tc>
        <w:tc>
          <w:tcPr>
            <w:tcW w:w="1588" w:type="dxa"/>
          </w:tcPr>
          <w:p w:rsidR="00BF56A0" w:rsidRDefault="00BF56A0">
            <w:pPr>
              <w:jc w:val="right"/>
              <w:rPr>
                <w:rFonts w:ascii="Arial" w:hAnsi="Arial"/>
                <w:lang w:val="fr-FR"/>
              </w:rPr>
            </w:pPr>
            <w:r>
              <w:rPr>
                <w:rFonts w:ascii="Arial" w:hAnsi="Arial"/>
                <w:lang w:val="fr-FR"/>
              </w:rPr>
              <w:t>62 998</w:t>
            </w:r>
          </w:p>
        </w:tc>
        <w:tc>
          <w:tcPr>
            <w:tcW w:w="1588" w:type="dxa"/>
            <w:tcBorders>
              <w:right w:val="single" w:sz="6" w:space="0" w:color="auto"/>
            </w:tcBorders>
          </w:tcPr>
          <w:p w:rsidR="00BF56A0" w:rsidRDefault="00BF56A0">
            <w:pPr>
              <w:jc w:val="right"/>
              <w:rPr>
                <w:rFonts w:ascii="Arial" w:hAnsi="Arial"/>
                <w:lang w:val="fr-FR"/>
              </w:rPr>
            </w:pPr>
            <w:r>
              <w:rPr>
                <w:rFonts w:ascii="Arial" w:hAnsi="Arial"/>
                <w:lang w:val="fr-FR"/>
              </w:rPr>
              <w:t>63 654</w:t>
            </w:r>
          </w:p>
        </w:tc>
      </w:tr>
      <w:tr w:rsidR="00BF56A0" w:rsidTr="00A51611">
        <w:tc>
          <w:tcPr>
            <w:tcW w:w="2592" w:type="dxa"/>
            <w:tcBorders>
              <w:left w:val="single" w:sz="6" w:space="0" w:color="auto"/>
            </w:tcBorders>
          </w:tcPr>
          <w:p w:rsidR="00BF56A0" w:rsidRDefault="00BF56A0">
            <w:pPr>
              <w:rPr>
                <w:rFonts w:ascii="Arial" w:hAnsi="Arial"/>
                <w:i/>
                <w:lang w:val="fr-FR"/>
              </w:rPr>
            </w:pPr>
          </w:p>
        </w:tc>
        <w:tc>
          <w:tcPr>
            <w:tcW w:w="1588" w:type="dxa"/>
          </w:tcPr>
          <w:p w:rsidR="00BF56A0" w:rsidRDefault="00BF56A0">
            <w:pPr>
              <w:jc w:val="right"/>
              <w:rPr>
                <w:rFonts w:ascii="Arial" w:hAnsi="Arial"/>
                <w:lang w:val="fr-FR"/>
              </w:rPr>
            </w:pPr>
          </w:p>
        </w:tc>
        <w:tc>
          <w:tcPr>
            <w:tcW w:w="1588" w:type="dxa"/>
          </w:tcPr>
          <w:p w:rsidR="00BF56A0" w:rsidRDefault="00BF56A0">
            <w:pPr>
              <w:jc w:val="right"/>
              <w:rPr>
                <w:rFonts w:ascii="Arial" w:hAnsi="Arial"/>
                <w:lang w:val="fr-FR"/>
              </w:rPr>
            </w:pPr>
          </w:p>
        </w:tc>
        <w:tc>
          <w:tcPr>
            <w:tcW w:w="1588" w:type="dxa"/>
          </w:tcPr>
          <w:p w:rsidR="00BF56A0" w:rsidRDefault="00BF56A0">
            <w:pPr>
              <w:jc w:val="right"/>
              <w:rPr>
                <w:rFonts w:ascii="Arial" w:hAnsi="Arial"/>
                <w:lang w:val="fr-FR"/>
              </w:rPr>
            </w:pPr>
          </w:p>
        </w:tc>
        <w:tc>
          <w:tcPr>
            <w:tcW w:w="1588" w:type="dxa"/>
          </w:tcPr>
          <w:p w:rsidR="00BF56A0" w:rsidRDefault="00BF56A0">
            <w:pPr>
              <w:jc w:val="right"/>
              <w:rPr>
                <w:rFonts w:ascii="Arial" w:hAnsi="Arial"/>
                <w:lang w:val="fr-FR"/>
              </w:rPr>
            </w:pPr>
          </w:p>
        </w:tc>
        <w:tc>
          <w:tcPr>
            <w:tcW w:w="1588" w:type="dxa"/>
          </w:tcPr>
          <w:p w:rsidR="00BF56A0" w:rsidRDefault="00BF56A0">
            <w:pPr>
              <w:jc w:val="right"/>
              <w:rPr>
                <w:rFonts w:ascii="Arial" w:hAnsi="Arial"/>
                <w:lang w:val="fr-FR"/>
              </w:rPr>
            </w:pPr>
          </w:p>
        </w:tc>
        <w:tc>
          <w:tcPr>
            <w:tcW w:w="1588" w:type="dxa"/>
            <w:tcBorders>
              <w:right w:val="single" w:sz="6" w:space="0" w:color="auto"/>
            </w:tcBorders>
          </w:tcPr>
          <w:p w:rsidR="00BF56A0" w:rsidRDefault="00BF56A0">
            <w:pPr>
              <w:jc w:val="right"/>
              <w:rPr>
                <w:rFonts w:ascii="Arial" w:hAnsi="Arial"/>
                <w:lang w:val="fr-FR"/>
              </w:rPr>
            </w:pPr>
          </w:p>
        </w:tc>
      </w:tr>
      <w:tr w:rsidR="00BF56A0" w:rsidTr="00A51611">
        <w:tc>
          <w:tcPr>
            <w:tcW w:w="2592" w:type="dxa"/>
            <w:tcBorders>
              <w:left w:val="single" w:sz="6" w:space="0" w:color="auto"/>
            </w:tcBorders>
          </w:tcPr>
          <w:p w:rsidR="00BF56A0" w:rsidRDefault="00BF56A0">
            <w:pPr>
              <w:rPr>
                <w:rFonts w:ascii="Arial" w:hAnsi="Arial"/>
                <w:i/>
                <w:lang w:val="fr-FR"/>
              </w:rPr>
            </w:pPr>
            <w:r>
              <w:rPr>
                <w:rFonts w:ascii="Arial" w:hAnsi="Arial"/>
                <w:i/>
                <w:lang w:val="fr-FR"/>
              </w:rPr>
              <w:t>Cumul des ventes</w:t>
            </w:r>
          </w:p>
        </w:tc>
        <w:tc>
          <w:tcPr>
            <w:tcW w:w="1588" w:type="dxa"/>
          </w:tcPr>
          <w:p w:rsidR="00BF56A0" w:rsidRDefault="00BF56A0">
            <w:pPr>
              <w:jc w:val="right"/>
              <w:rPr>
                <w:rFonts w:ascii="Arial" w:hAnsi="Arial"/>
                <w:lang w:val="fr-FR"/>
              </w:rPr>
            </w:pPr>
            <w:r>
              <w:rPr>
                <w:rFonts w:ascii="Arial" w:hAnsi="Arial"/>
                <w:lang w:val="fr-FR"/>
              </w:rPr>
              <w:t>40 982</w:t>
            </w:r>
          </w:p>
        </w:tc>
        <w:tc>
          <w:tcPr>
            <w:tcW w:w="1588" w:type="dxa"/>
          </w:tcPr>
          <w:p w:rsidR="00BF56A0" w:rsidRDefault="00BF56A0">
            <w:pPr>
              <w:jc w:val="right"/>
              <w:rPr>
                <w:rFonts w:ascii="Arial" w:hAnsi="Arial"/>
                <w:lang w:val="fr-FR"/>
              </w:rPr>
            </w:pPr>
            <w:r>
              <w:rPr>
                <w:rFonts w:ascii="Arial" w:hAnsi="Arial"/>
                <w:lang w:val="fr-FR"/>
              </w:rPr>
              <w:t>106 814</w:t>
            </w:r>
          </w:p>
        </w:tc>
        <w:tc>
          <w:tcPr>
            <w:tcW w:w="1588" w:type="dxa"/>
          </w:tcPr>
          <w:p w:rsidR="00BF56A0" w:rsidRDefault="00BF56A0">
            <w:pPr>
              <w:jc w:val="right"/>
              <w:rPr>
                <w:rFonts w:ascii="Arial" w:hAnsi="Arial"/>
                <w:lang w:val="fr-FR"/>
              </w:rPr>
            </w:pPr>
            <w:r>
              <w:rPr>
                <w:rFonts w:ascii="Arial" w:hAnsi="Arial"/>
                <w:lang w:val="fr-FR"/>
              </w:rPr>
              <w:t>172 743</w:t>
            </w:r>
          </w:p>
        </w:tc>
        <w:tc>
          <w:tcPr>
            <w:tcW w:w="1588" w:type="dxa"/>
          </w:tcPr>
          <w:p w:rsidR="00BF56A0" w:rsidRDefault="00BF56A0">
            <w:pPr>
              <w:jc w:val="right"/>
              <w:rPr>
                <w:rFonts w:ascii="Arial" w:hAnsi="Arial"/>
                <w:lang w:val="fr-FR"/>
              </w:rPr>
            </w:pPr>
            <w:r>
              <w:rPr>
                <w:rFonts w:ascii="Arial" w:hAnsi="Arial"/>
                <w:lang w:val="fr-FR"/>
              </w:rPr>
              <w:t>240 186</w:t>
            </w:r>
          </w:p>
        </w:tc>
        <w:tc>
          <w:tcPr>
            <w:tcW w:w="1588" w:type="dxa"/>
          </w:tcPr>
          <w:p w:rsidR="00BF56A0" w:rsidRDefault="00BF56A0">
            <w:pPr>
              <w:jc w:val="right"/>
              <w:rPr>
                <w:rFonts w:ascii="Arial" w:hAnsi="Arial"/>
                <w:lang w:val="fr-FR"/>
              </w:rPr>
            </w:pPr>
            <w:r>
              <w:rPr>
                <w:rFonts w:ascii="Arial" w:hAnsi="Arial"/>
                <w:lang w:val="fr-FR"/>
              </w:rPr>
              <w:t>309 417</w:t>
            </w:r>
          </w:p>
        </w:tc>
        <w:tc>
          <w:tcPr>
            <w:tcW w:w="1588" w:type="dxa"/>
            <w:tcBorders>
              <w:right w:val="single" w:sz="6" w:space="0" w:color="auto"/>
            </w:tcBorders>
          </w:tcPr>
          <w:p w:rsidR="00BF56A0" w:rsidRDefault="00BF56A0">
            <w:pPr>
              <w:jc w:val="right"/>
              <w:rPr>
                <w:rFonts w:ascii="Arial" w:hAnsi="Arial"/>
                <w:lang w:val="fr-FR"/>
              </w:rPr>
            </w:pPr>
            <w:r>
              <w:rPr>
                <w:rFonts w:ascii="Arial" w:hAnsi="Arial"/>
                <w:lang w:val="fr-FR"/>
              </w:rPr>
              <w:t>377 815</w:t>
            </w:r>
          </w:p>
        </w:tc>
      </w:tr>
      <w:tr w:rsidR="00BF56A0" w:rsidTr="00A51611">
        <w:tc>
          <w:tcPr>
            <w:tcW w:w="2592" w:type="dxa"/>
            <w:tcBorders>
              <w:left w:val="single" w:sz="6" w:space="0" w:color="auto"/>
              <w:bottom w:val="single" w:sz="6" w:space="0" w:color="auto"/>
            </w:tcBorders>
          </w:tcPr>
          <w:p w:rsidR="00BF56A0" w:rsidRDefault="00BF56A0">
            <w:pPr>
              <w:rPr>
                <w:rFonts w:ascii="Arial" w:hAnsi="Arial"/>
                <w:i/>
                <w:lang w:val="fr-FR"/>
              </w:rPr>
            </w:pPr>
            <w:r>
              <w:rPr>
                <w:rFonts w:ascii="Arial" w:hAnsi="Arial"/>
                <w:i/>
                <w:lang w:val="fr-FR"/>
              </w:rPr>
              <w:t>Cumul des prévisions</w:t>
            </w:r>
          </w:p>
        </w:tc>
        <w:tc>
          <w:tcPr>
            <w:tcW w:w="1588" w:type="dxa"/>
            <w:tcBorders>
              <w:bottom w:val="single" w:sz="6" w:space="0" w:color="auto"/>
            </w:tcBorders>
          </w:tcPr>
          <w:p w:rsidR="00BF56A0" w:rsidRDefault="00BF56A0">
            <w:pPr>
              <w:jc w:val="right"/>
              <w:rPr>
                <w:rFonts w:ascii="Arial" w:hAnsi="Arial"/>
                <w:lang w:val="fr-FR"/>
              </w:rPr>
            </w:pPr>
            <w:r>
              <w:rPr>
                <w:rFonts w:ascii="Arial" w:hAnsi="Arial"/>
                <w:lang w:val="fr-FR"/>
              </w:rPr>
              <w:t>45 200</w:t>
            </w:r>
          </w:p>
        </w:tc>
        <w:tc>
          <w:tcPr>
            <w:tcW w:w="1588" w:type="dxa"/>
            <w:tcBorders>
              <w:bottom w:val="single" w:sz="6" w:space="0" w:color="auto"/>
            </w:tcBorders>
          </w:tcPr>
          <w:p w:rsidR="00BF56A0" w:rsidRDefault="00BF56A0">
            <w:pPr>
              <w:jc w:val="right"/>
              <w:rPr>
                <w:rFonts w:ascii="Arial" w:hAnsi="Arial"/>
                <w:lang w:val="fr-FR"/>
              </w:rPr>
            </w:pPr>
            <w:r>
              <w:rPr>
                <w:rFonts w:ascii="Arial" w:hAnsi="Arial"/>
                <w:lang w:val="fr-FR"/>
              </w:rPr>
              <w:t>123 500</w:t>
            </w:r>
          </w:p>
        </w:tc>
        <w:tc>
          <w:tcPr>
            <w:tcW w:w="1588" w:type="dxa"/>
            <w:tcBorders>
              <w:bottom w:val="single" w:sz="6" w:space="0" w:color="auto"/>
            </w:tcBorders>
          </w:tcPr>
          <w:p w:rsidR="00BF56A0" w:rsidRDefault="00BF56A0">
            <w:pPr>
              <w:jc w:val="right"/>
              <w:rPr>
                <w:rFonts w:ascii="Arial" w:hAnsi="Arial"/>
                <w:lang w:val="fr-FR"/>
              </w:rPr>
            </w:pPr>
            <w:r>
              <w:rPr>
                <w:rFonts w:ascii="Arial" w:hAnsi="Arial"/>
                <w:lang w:val="fr-FR"/>
              </w:rPr>
              <w:t>169 400</w:t>
            </w:r>
          </w:p>
        </w:tc>
        <w:tc>
          <w:tcPr>
            <w:tcW w:w="1588" w:type="dxa"/>
            <w:tcBorders>
              <w:bottom w:val="single" w:sz="6" w:space="0" w:color="auto"/>
            </w:tcBorders>
          </w:tcPr>
          <w:p w:rsidR="00BF56A0" w:rsidRDefault="00BF56A0">
            <w:pPr>
              <w:jc w:val="right"/>
              <w:rPr>
                <w:rFonts w:ascii="Arial" w:hAnsi="Arial"/>
                <w:lang w:val="fr-FR"/>
              </w:rPr>
            </w:pPr>
            <w:r>
              <w:rPr>
                <w:rFonts w:ascii="Arial" w:hAnsi="Arial"/>
                <w:lang w:val="fr-FR"/>
              </w:rPr>
              <w:t>227 045</w:t>
            </w:r>
          </w:p>
        </w:tc>
        <w:tc>
          <w:tcPr>
            <w:tcW w:w="1588" w:type="dxa"/>
            <w:tcBorders>
              <w:bottom w:val="single" w:sz="6" w:space="0" w:color="auto"/>
            </w:tcBorders>
          </w:tcPr>
          <w:p w:rsidR="00BF56A0" w:rsidRDefault="00BF56A0">
            <w:pPr>
              <w:jc w:val="right"/>
              <w:rPr>
                <w:rFonts w:ascii="Arial" w:hAnsi="Arial"/>
                <w:lang w:val="fr-FR"/>
              </w:rPr>
            </w:pPr>
            <w:r>
              <w:rPr>
                <w:rFonts w:ascii="Arial" w:hAnsi="Arial"/>
                <w:lang w:val="fr-FR"/>
              </w:rPr>
              <w:t>290 043</w:t>
            </w:r>
          </w:p>
        </w:tc>
        <w:tc>
          <w:tcPr>
            <w:tcW w:w="1588" w:type="dxa"/>
            <w:tcBorders>
              <w:bottom w:val="single" w:sz="6" w:space="0" w:color="auto"/>
              <w:right w:val="single" w:sz="6" w:space="0" w:color="auto"/>
            </w:tcBorders>
          </w:tcPr>
          <w:p w:rsidR="00BF56A0" w:rsidRDefault="00BF56A0">
            <w:pPr>
              <w:jc w:val="right"/>
              <w:rPr>
                <w:rFonts w:ascii="Arial" w:hAnsi="Arial"/>
                <w:lang w:val="fr-FR"/>
              </w:rPr>
            </w:pPr>
            <w:r>
              <w:rPr>
                <w:rFonts w:ascii="Arial" w:hAnsi="Arial"/>
                <w:lang w:val="fr-FR"/>
              </w:rPr>
              <w:t>353 697</w:t>
            </w:r>
          </w:p>
        </w:tc>
      </w:tr>
    </w:tbl>
    <w:p w:rsidR="00BF56A0" w:rsidRDefault="00BF56A0">
      <w:pPr>
        <w:spacing w:before="360" w:after="240"/>
        <w:jc w:val="center"/>
        <w:rPr>
          <w:rFonts w:ascii="Arial" w:hAnsi="Arial"/>
          <w:b/>
          <w:sz w:val="28"/>
          <w:lang w:val="fr-FR"/>
        </w:rPr>
      </w:pPr>
      <w:r>
        <w:rPr>
          <w:rFonts w:ascii="Arial" w:hAnsi="Arial"/>
          <w:b/>
          <w:sz w:val="28"/>
          <w:lang w:val="fr-FR"/>
        </w:rPr>
        <w:t>Prévisions corrigées des parts de marché</w:t>
      </w:r>
    </w:p>
    <w:p w:rsidR="00BF56A0" w:rsidRDefault="00BF56A0">
      <w:pPr>
        <w:ind w:left="360" w:hanging="360"/>
        <w:jc w:val="center"/>
        <w:rPr>
          <w:lang w:val="fr-FR"/>
        </w:rPr>
      </w:pPr>
      <w:r w:rsidRPr="000A6051">
        <w:rPr>
          <w:lang w:val="fr-FR"/>
        </w:rPr>
        <w:object w:dxaOrig="4106" w:dyaOrig="3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201pt" o:ole="" fillcolor="window">
            <v:imagedata r:id="rId6" o:title=""/>
          </v:shape>
          <o:OLEObject Type="Embed" ProgID="Word.Picture.8" ShapeID="_x0000_i1025" DrawAspect="Content" ObjectID="_1511095488" r:id="rId7"/>
        </w:object>
      </w:r>
    </w:p>
    <w:sectPr w:rsidR="00BF56A0" w:rsidSect="00B45273">
      <w:headerReference w:type="default" r:id="rId8"/>
      <w:pgSz w:w="15840" w:h="12240" w:orient="landscape" w:code="1"/>
      <w:pgMar w:top="1701" w:right="1701" w:bottom="1701" w:left="226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366" w:rsidRDefault="00C94366">
      <w:r>
        <w:separator/>
      </w:r>
    </w:p>
  </w:endnote>
  <w:endnote w:type="continuationSeparator" w:id="0">
    <w:p w:rsidR="00C94366" w:rsidRDefault="00C94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366" w:rsidRDefault="00C94366">
      <w:r>
        <w:separator/>
      </w:r>
    </w:p>
  </w:footnote>
  <w:footnote w:type="continuationSeparator" w:id="0">
    <w:p w:rsidR="00C94366" w:rsidRDefault="00C94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6A0" w:rsidRDefault="00BF56A0">
    <w:pPr>
      <w:pStyle w:val="En-tte"/>
      <w:jc w:val="center"/>
      <w:rPr>
        <w:i/>
        <w:sz w:val="48"/>
      </w:rPr>
    </w:pPr>
    <w:r>
      <w:rPr>
        <w:i/>
        <w:sz w:val="48"/>
      </w:rPr>
      <w:t>Sucreries Lilly</w:t>
    </w:r>
  </w:p>
  <w:p w:rsidR="00BF56A0" w:rsidRDefault="00BF56A0">
    <w:pPr>
      <w:pStyle w:val="En-tte"/>
      <w:pBdr>
        <w:bottom w:val="single" w:sz="6" w:space="1" w:color="auto"/>
      </w:pBdr>
      <w:jc w:val="center"/>
    </w:pPr>
    <w:r>
      <w:rPr>
        <w:rFonts w:ascii="Arial" w:hAnsi="Arial"/>
      </w:rPr>
      <w:t>Rapport des ventes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E11"/>
    <w:rsid w:val="000A6051"/>
    <w:rsid w:val="000B3C88"/>
    <w:rsid w:val="00101BD8"/>
    <w:rsid w:val="001701FF"/>
    <w:rsid w:val="00251137"/>
    <w:rsid w:val="002B1246"/>
    <w:rsid w:val="002C76A3"/>
    <w:rsid w:val="005B7861"/>
    <w:rsid w:val="0074171B"/>
    <w:rsid w:val="00897CF9"/>
    <w:rsid w:val="00916DCF"/>
    <w:rsid w:val="00935FDC"/>
    <w:rsid w:val="00A51611"/>
    <w:rsid w:val="00AA59F3"/>
    <w:rsid w:val="00AB0723"/>
    <w:rsid w:val="00B45273"/>
    <w:rsid w:val="00BF56A0"/>
    <w:rsid w:val="00C94366"/>
    <w:rsid w:val="00CA4DD3"/>
    <w:rsid w:val="00D06F16"/>
    <w:rsid w:val="00DB2980"/>
    <w:rsid w:val="00E2209B"/>
    <w:rsid w:val="00E75E11"/>
    <w:rsid w:val="00E817CB"/>
    <w:rsid w:val="00FA130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F6DB800F-3842-4251-A091-ECE4A112A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051"/>
    <w:rPr>
      <w:sz w:val="24"/>
      <w:lang w:eastAsia="fr-FR"/>
    </w:rPr>
  </w:style>
  <w:style w:type="paragraph" w:styleId="Titre1">
    <w:name w:val="heading 1"/>
    <w:basedOn w:val="Normal"/>
    <w:next w:val="Normal"/>
    <w:qFormat/>
    <w:rsid w:val="000A6051"/>
    <w:pPr>
      <w:spacing w:before="240" w:after="60"/>
      <w:outlineLvl w:val="0"/>
    </w:pPr>
    <w:rPr>
      <w:rFonts w:ascii="Arial" w:hAnsi="Arial"/>
      <w:b/>
      <w:sz w:val="28"/>
    </w:rPr>
  </w:style>
  <w:style w:type="paragraph" w:styleId="Titre2">
    <w:name w:val="heading 2"/>
    <w:basedOn w:val="Normal"/>
    <w:next w:val="Normal"/>
    <w:qFormat/>
    <w:rsid w:val="000A6051"/>
    <w:pPr>
      <w:spacing w:before="240" w:after="60"/>
      <w:outlineLvl w:val="1"/>
    </w:pPr>
    <w:rPr>
      <w:rFonts w:ascii="Arial" w:hAnsi="Arial"/>
      <w:b/>
      <w:i/>
    </w:rPr>
  </w:style>
  <w:style w:type="paragraph" w:styleId="Titre3">
    <w:name w:val="heading 3"/>
    <w:basedOn w:val="Normal"/>
    <w:next w:val="Normal"/>
    <w:qFormat/>
    <w:rsid w:val="000A6051"/>
    <w:pPr>
      <w:spacing w:before="240" w:after="60"/>
      <w:outlineLvl w:val="2"/>
    </w:pPr>
    <w:rPr>
      <w:b/>
    </w:rPr>
  </w:style>
  <w:style w:type="paragraph" w:styleId="Titre4">
    <w:name w:val="heading 4"/>
    <w:basedOn w:val="Normal"/>
    <w:next w:val="Normal"/>
    <w:qFormat/>
    <w:rsid w:val="000A6051"/>
    <w:pPr>
      <w:spacing w:before="240" w:after="60"/>
      <w:outlineLvl w:val="3"/>
    </w:pPr>
    <w:rPr>
      <w:b/>
      <w:i/>
    </w:rPr>
  </w:style>
  <w:style w:type="paragraph" w:styleId="Titre5">
    <w:name w:val="heading 5"/>
    <w:basedOn w:val="Titre3"/>
    <w:next w:val="Normal"/>
    <w:qFormat/>
    <w:rsid w:val="000A6051"/>
    <w:pPr>
      <w:outlineLvl w:val="4"/>
    </w:pPr>
    <w:rPr>
      <w:rFonts w:ascii="Arial" w:hAnsi="Arial"/>
      <w:sz w:val="22"/>
    </w:rPr>
  </w:style>
  <w:style w:type="paragraph" w:styleId="Titre6">
    <w:name w:val="heading 6"/>
    <w:basedOn w:val="Titre5"/>
    <w:next w:val="Normal"/>
    <w:qFormat/>
    <w:rsid w:val="000A6051"/>
    <w:pPr>
      <w:outlineLvl w:val="5"/>
    </w:pPr>
    <w:rPr>
      <w:i/>
    </w:rPr>
  </w:style>
  <w:style w:type="paragraph" w:styleId="Titre7">
    <w:name w:val="heading 7"/>
    <w:basedOn w:val="Normal"/>
    <w:next w:val="Normal"/>
    <w:qFormat/>
    <w:rsid w:val="000A6051"/>
    <w:pPr>
      <w:spacing w:before="240" w:after="60"/>
      <w:outlineLvl w:val="6"/>
    </w:pPr>
    <w:rPr>
      <w:rFonts w:ascii="Arial" w:hAnsi="Arial"/>
    </w:rPr>
  </w:style>
  <w:style w:type="paragraph" w:styleId="Titre8">
    <w:name w:val="heading 8"/>
    <w:basedOn w:val="Titre7"/>
    <w:next w:val="Normal"/>
    <w:qFormat/>
    <w:rsid w:val="000A6051"/>
    <w:pPr>
      <w:outlineLvl w:val="7"/>
    </w:pPr>
    <w:rPr>
      <w:i/>
    </w:rPr>
  </w:style>
  <w:style w:type="paragraph" w:styleId="Titre9">
    <w:name w:val="heading 9"/>
    <w:basedOn w:val="Normal"/>
    <w:next w:val="Normal"/>
    <w:qFormat/>
    <w:rsid w:val="000A6051"/>
    <w:pPr>
      <w:widowControl w:val="0"/>
      <w:ind w:left="720"/>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A6051"/>
    <w:pPr>
      <w:tabs>
        <w:tab w:val="center" w:pos="4703"/>
        <w:tab w:val="right" w:pos="9406"/>
      </w:tabs>
    </w:pPr>
  </w:style>
  <w:style w:type="paragraph" w:styleId="Pieddepage">
    <w:name w:val="footer"/>
    <w:basedOn w:val="Normal"/>
    <w:rsid w:val="000A6051"/>
    <w:pPr>
      <w:tabs>
        <w:tab w:val="center" w:pos="4703"/>
        <w:tab w:val="right" w:pos="94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100</Words>
  <Characters>553</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Présentation du chiffre d’affaires</vt:lpstr>
    </vt:vector>
  </TitlesOfParts>
  <Company>Editions Logitell inc.</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 du chiffre d’affaires</dc:title>
  <dc:subject/>
  <dc:creator>Stella Gardonio</dc:creator>
  <cp:keywords/>
  <dc:description/>
  <cp:lastModifiedBy>Amy</cp:lastModifiedBy>
  <cp:revision>6</cp:revision>
  <cp:lastPrinted>2007-03-01T14:57:00Z</cp:lastPrinted>
  <dcterms:created xsi:type="dcterms:W3CDTF">2013-08-16T11:12:00Z</dcterms:created>
  <dcterms:modified xsi:type="dcterms:W3CDTF">2015-12-08T20:58:00Z</dcterms:modified>
</cp:coreProperties>
</file>